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EF" w:rsidRPr="00546DEF" w:rsidRDefault="00546DEF" w:rsidP="00546DEF">
      <w:pPr>
        <w:pStyle w:val="NormalnyWeb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46DEF">
        <w:rPr>
          <w:b/>
          <w:bCs/>
          <w:sz w:val="32"/>
          <w:szCs w:val="32"/>
        </w:rPr>
        <w:t>Komunikat dotyczący priorytetowego programu</w:t>
      </w:r>
    </w:p>
    <w:p w:rsidR="00546DEF" w:rsidRDefault="00546DEF" w:rsidP="00546DEF">
      <w:pPr>
        <w:pStyle w:val="NormalnyWeb"/>
        <w:jc w:val="center"/>
      </w:pPr>
      <w:r>
        <w:t xml:space="preserve">pn. </w:t>
      </w:r>
      <w:r>
        <w:rPr>
          <w:rStyle w:val="Pogrubienie"/>
        </w:rPr>
        <w:t>„Ogólnopolski program regeneracji środowiskowej gleb poprzez ich wapnowanie”</w:t>
      </w:r>
    </w:p>
    <w:p w:rsidR="00546DEF" w:rsidRDefault="00546DEF" w:rsidP="00546DEF">
      <w:pPr>
        <w:pStyle w:val="NormalnyWeb"/>
      </w:pPr>
      <w:r>
        <w:t xml:space="preserve">Zgodnie z wcześniejszymi zapowiedziami Ministra Środowiska i Ministra Rolnictwa i Rozwoju Wsi w sprawie Programu priorytetowego pt.: </w:t>
      </w:r>
      <w:r>
        <w:rPr>
          <w:rStyle w:val="Pogrubienie"/>
        </w:rPr>
        <w:t>„Ogólnopolski program regeneracji środowiskowej gleb poprzez ich wapnowanie”</w:t>
      </w:r>
      <w:r>
        <w:t xml:space="preserve">, Zarząd Narodowego Funduszu Ochrony Środowiska i Gospodarki Wodnej przyjął jego założenia do realizacji </w:t>
      </w:r>
      <w:r>
        <w:rPr>
          <w:rStyle w:val="Pogrubienie"/>
        </w:rPr>
        <w:t xml:space="preserve">w latach 2019–2023. </w:t>
      </w:r>
      <w:r>
        <w:t xml:space="preserve">Szczegółowe terminy, tryb składania i rozpatrywania wniosków określone zostaną </w:t>
      </w:r>
      <w:r>
        <w:br/>
        <w:t>w ogłoszeniu o naborze, które zamieszczone zostanie na stronie internetowej właściwego Wojewódzkiego Funduszu Ochrony Środowiska i Gospodarki Wodnej oraz Krajowej Stacji Chemiczno-Rolniczej.</w:t>
      </w:r>
    </w:p>
    <w:p w:rsidR="00546DEF" w:rsidRDefault="00546DEF" w:rsidP="00546DEF">
      <w:pPr>
        <w:pStyle w:val="NormalnyWeb"/>
      </w:pPr>
      <w:r>
        <w:t xml:space="preserve">Dofinansowanie udzielane będzie, w ramach pomocy de </w:t>
      </w:r>
      <w:proofErr w:type="spellStart"/>
      <w:r>
        <w:t>minimis</w:t>
      </w:r>
      <w:proofErr w:type="spellEnd"/>
      <w:r>
        <w:t xml:space="preserve">, na realizację przedsięwzięć skutkujących poprawą jakości środowiska, co zostanie potwierdzone opinią właściwej miejscowo Okręgowej Stacji </w:t>
      </w:r>
      <w:proofErr w:type="spellStart"/>
      <w:r>
        <w:t>Chemiczno</w:t>
      </w:r>
      <w:proofErr w:type="spellEnd"/>
      <w:r>
        <w:t>–Rolniczej (</w:t>
      </w:r>
      <w:proofErr w:type="spellStart"/>
      <w:r>
        <w:t>OSCh</w:t>
      </w:r>
      <w:proofErr w:type="spellEnd"/>
      <w:r>
        <w:t>-R).</w:t>
      </w:r>
    </w:p>
    <w:p w:rsidR="00546DEF" w:rsidRDefault="00546DEF" w:rsidP="00546DEF">
      <w:pPr>
        <w:pStyle w:val="NormalnyWeb"/>
      </w:pPr>
      <w:r>
        <w:t xml:space="preserve">Beneficjentem końcowym Programu </w:t>
      </w:r>
      <w:r>
        <w:rPr>
          <w:rStyle w:val="Pogrubienie"/>
        </w:rPr>
        <w:t xml:space="preserve">są posiadacze użytków rolnych o powierzchni nieprzekraczającej 75 ha. </w:t>
      </w:r>
    </w:p>
    <w:p w:rsidR="00546DEF" w:rsidRDefault="00546DEF" w:rsidP="00546DEF">
      <w:pPr>
        <w:pStyle w:val="NormalnyWeb"/>
      </w:pPr>
      <w:r>
        <w:t xml:space="preserve">Badanie odczynu gleby należy wykonać raz na 4 lata, a próbkę pobiera się z powierzchni nie większej niż 4 ha. Na podstawie badania odczynu gleby dla gleb o </w:t>
      </w:r>
      <w:proofErr w:type="spellStart"/>
      <w:r>
        <w:t>pH</w:t>
      </w:r>
      <w:proofErr w:type="spellEnd"/>
      <w:r>
        <w:t xml:space="preserve"> poniżej lub równemu 5,5 </w:t>
      </w:r>
      <w:proofErr w:type="spellStart"/>
      <w:r>
        <w:t>OSCh</w:t>
      </w:r>
      <w:proofErr w:type="spellEnd"/>
      <w:r>
        <w:t>-R wyda opinię (zalecenie) nawozowe. Dofinansowanie działań regeneracyjnych dla danej działki ewidencyjnej będzie  udzielone nie częściej niż raz na cztery lata.</w:t>
      </w:r>
    </w:p>
    <w:p w:rsidR="00546DEF" w:rsidRDefault="00546DEF" w:rsidP="00546DEF">
      <w:pPr>
        <w:pStyle w:val="NormalnyWeb"/>
      </w:pPr>
      <w:r>
        <w:t>Kwota dofinansowania przedsięwzięcia wynosić będzie odpowiednio:</w:t>
      </w:r>
    </w:p>
    <w:p w:rsidR="00546DEF" w:rsidRDefault="00546DEF" w:rsidP="00546DEF">
      <w:pPr>
        <w:pStyle w:val="NormalnyWeb"/>
      </w:pPr>
      <w:r>
        <w:t xml:space="preserve">ü  </w:t>
      </w:r>
      <w:r>
        <w:rPr>
          <w:rStyle w:val="Pogrubienie"/>
        </w:rPr>
        <w:t>do 300 zł/t</w:t>
      </w:r>
      <w:r>
        <w:t xml:space="preserve"> czystego składnika odkwaszającego (</w:t>
      </w:r>
      <w:proofErr w:type="spellStart"/>
      <w:r>
        <w:t>CaO</w:t>
      </w:r>
      <w:proofErr w:type="spellEnd"/>
      <w:r>
        <w:t xml:space="preserve"> oraz </w:t>
      </w:r>
      <w:proofErr w:type="spellStart"/>
      <w:r>
        <w:t>CaO+MgO</w:t>
      </w:r>
      <w:proofErr w:type="spellEnd"/>
      <w:r>
        <w:t xml:space="preserve">) dla gospodarstw </w:t>
      </w:r>
      <w:r>
        <w:br/>
        <w:t>o powierzchni nie przekraczającej 25 ha użytków rolnych,</w:t>
      </w:r>
    </w:p>
    <w:p w:rsidR="00546DEF" w:rsidRDefault="00546DEF" w:rsidP="00546DEF">
      <w:pPr>
        <w:pStyle w:val="NormalnyWeb"/>
      </w:pPr>
      <w:r>
        <w:t xml:space="preserve">ü  </w:t>
      </w:r>
      <w:r>
        <w:rPr>
          <w:rStyle w:val="Pogrubienie"/>
        </w:rPr>
        <w:t>do 200 zł/t</w:t>
      </w:r>
      <w:r>
        <w:t xml:space="preserve"> czystego składnika odkwaszającego (</w:t>
      </w:r>
      <w:proofErr w:type="spellStart"/>
      <w:r>
        <w:t>CaO</w:t>
      </w:r>
      <w:proofErr w:type="spellEnd"/>
      <w:r>
        <w:t xml:space="preserve"> oraz </w:t>
      </w:r>
      <w:proofErr w:type="spellStart"/>
      <w:r>
        <w:t>CaO+MgO</w:t>
      </w:r>
      <w:proofErr w:type="spellEnd"/>
      <w:r>
        <w:t>) dla gospodarstw o powierzchni powyżej 25 ha, ale nie przekraczającej 50 ha użytków rolnych,</w:t>
      </w:r>
    </w:p>
    <w:p w:rsidR="00546DEF" w:rsidRDefault="00546DEF" w:rsidP="00546DEF">
      <w:pPr>
        <w:pStyle w:val="NormalnyWeb"/>
      </w:pPr>
      <w:r>
        <w:t xml:space="preserve">ü  </w:t>
      </w:r>
      <w:r>
        <w:rPr>
          <w:rStyle w:val="Pogrubienie"/>
        </w:rPr>
        <w:t>do 100 zł/t</w:t>
      </w:r>
      <w:r>
        <w:t xml:space="preserve"> czystego składnika odkwaszającego (</w:t>
      </w:r>
      <w:proofErr w:type="spellStart"/>
      <w:r>
        <w:t>CaO</w:t>
      </w:r>
      <w:proofErr w:type="spellEnd"/>
      <w:r>
        <w:t xml:space="preserve"> oraz </w:t>
      </w:r>
      <w:proofErr w:type="spellStart"/>
      <w:r>
        <w:t>CaO+MgO</w:t>
      </w:r>
      <w:proofErr w:type="spellEnd"/>
      <w:r>
        <w:t>) dla gospodarstw o powierzchni powyżej 50 ha, ale nie przekraczającej 75 ha użytków rolnych.</w:t>
      </w:r>
    </w:p>
    <w:p w:rsidR="00546DEF" w:rsidRDefault="00546DEF" w:rsidP="00546DEF">
      <w:pPr>
        <w:pStyle w:val="NormalnyWeb"/>
      </w:pPr>
      <w:r>
        <w:t>Do kosztów kwalifikowanych zaliczać się będą koszty zakupu:</w:t>
      </w:r>
    </w:p>
    <w:p w:rsidR="00546DEF" w:rsidRDefault="00546DEF" w:rsidP="00546DEF">
      <w:pPr>
        <w:pStyle w:val="NormalnyWeb"/>
      </w:pPr>
      <w:r>
        <w:t xml:space="preserve">ü  wapna nawozowego odpowiadającego typom wapna nawozowego, określonego </w:t>
      </w:r>
      <w:r>
        <w:br/>
        <w:t xml:space="preserve">w załączniku nr 6 do rozporządzenia Ministra Gospodarki z dnia 8 września 2010 r. </w:t>
      </w:r>
      <w:r>
        <w:br/>
        <w:t xml:space="preserve">w sprawie sposobu pakowania nawozów mineralnych, umieszczania informacji </w:t>
      </w:r>
      <w:r>
        <w:br/>
        <w:t>o składnikach nawozowych na tych opakowaniach, sposobu badania nawozów mineralnych oraz typów wapna nawozowego (Dz. U. Nr 183, poz. 1229),</w:t>
      </w:r>
    </w:p>
    <w:p w:rsidR="00546DEF" w:rsidRDefault="00546DEF" w:rsidP="00546DEF">
      <w:pPr>
        <w:pStyle w:val="NormalnyWeb"/>
      </w:pPr>
      <w:r>
        <w:t>ü  środka wapnującego, o którym mowa w przepisach rozporządzenia (WE) nr 2003/2003 Parlamentu Europejskiego i Rady z dnia 13 października 2003 r. w sprawie nawozów,</w:t>
      </w:r>
    </w:p>
    <w:p w:rsidR="00546DEF" w:rsidRDefault="00546DEF" w:rsidP="00546DEF">
      <w:pPr>
        <w:pStyle w:val="NormalnyWeb"/>
        <w:rPr>
          <w:rStyle w:val="Pogrubienie"/>
        </w:rPr>
      </w:pPr>
      <w:r>
        <w:t xml:space="preserve">z wyłączeniem kosztów transportu i rozsiewania. Okres kwalifikowalności kosztów </w:t>
      </w:r>
      <w:r>
        <w:br/>
      </w:r>
      <w:r>
        <w:rPr>
          <w:rStyle w:val="Pogrubienie"/>
        </w:rPr>
        <w:t>od 01.06.2019 r. do 31.10.2023 r</w:t>
      </w:r>
    </w:p>
    <w:p w:rsidR="00546DEF" w:rsidRPr="00546DEF" w:rsidRDefault="00546DEF" w:rsidP="00546DEF">
      <w:pPr>
        <w:pStyle w:val="NormalnyWeb"/>
        <w:rPr>
          <w:b/>
          <w:bCs/>
          <w:sz w:val="36"/>
          <w:szCs w:val="36"/>
        </w:rPr>
      </w:pPr>
      <w:r w:rsidRPr="00546DEF">
        <w:rPr>
          <w:b/>
          <w:bCs/>
          <w:sz w:val="36"/>
          <w:szCs w:val="36"/>
        </w:rPr>
        <w:lastRenderedPageBreak/>
        <w:t>Informacja o danych na Fakturze</w:t>
      </w:r>
    </w:p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EF" w:rsidRPr="00546DEF" w:rsidRDefault="00546DEF" w:rsidP="00546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planowanym uruchomieniem programu priorytetowego pt.: „Ogólnopolski program regeneracji środowiskowej gleb poprzez ich wapnowanie” informujemy uprzejmie, że dopłata będzie przysługiwała do: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   wapna nawozowego, odpowiadającego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(Dz. U Nr 183, poz. 1229), oraz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    środka wapnującego, odpowiadającego typom środków wapnujących, o których mowa w przepisach rozporządzenia (WE) nr 2003/2003 Parlamentu Europejskiego i Rady z dnia 13 października 2003 r. w sprawie nawozów. 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Potwierdzeniem spełnienia ww. warunków jest umieszczenie na fakturze informacji o typie i odmianie zakupionego wapna nawozowego lub środków wapnujących oraz zawartość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CaO+MgO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Przykładowe informacje na fakturze przy zakupie wapna nawozowego, odpowiadającego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(Dz. U Nr 183, poz. 1229):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    wapno nawozowe typ: z przerobu skał wapiennych, odmiana 04, minimalna zawartość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50%,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   wapno nawozowe typ: z produkcji ubocznej, odmiana 07, minimalna zawartość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30%,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    wapno nawozowe zawierające magnez typ: węglanowe, odmiana 05, minimalna zawartość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CaO+MgO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45%.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Przykładowe informacje na fakturze przy zakupie środka wapnującego, odpowiadającego typom środków wapnujących, o których mowa w przepisach rozporządzenia (WE) nr 2003/2003 Parlamentu Europejskiego i Rady z dnia 13 października 2003 r. w sprawie nawozów: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    G.1. Wapień naturalny, typ: wapień – standardowy oraz zawartość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% deklarowana przez producenta środka wapnującego,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   G.2. wapno tlenkowe i wodorotlenkowe pochodzenia naturalnego, typ: wapno magnezowe palone – jakość pierwsza oraz zawartość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CaO+MgO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deklarowana przez producenta środka wapnującego,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    G.3. wapno uzyskiwane w procesach przemysłowych, typ: wapno defekacyjne oraz zawartość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% deklarowana przez producenta środka wapnującego</w:t>
      </w:r>
    </w:p>
    <w:p w:rsidR="00546DEF" w:rsidRDefault="00546DEF"/>
    <w:p w:rsidR="00546DEF" w:rsidRDefault="00546DEF"/>
    <w:p w:rsidR="00546DEF" w:rsidRDefault="00546DEF"/>
    <w:p w:rsidR="00546DEF" w:rsidRDefault="00546DEF"/>
    <w:p w:rsidR="00546DEF" w:rsidRDefault="00546DEF"/>
    <w:p w:rsidR="00546DEF" w:rsidRDefault="00546DEF"/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Typy wapna nawozowego niezawierającego magnezu 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Rozporządzeniem Ministra Gospodarki z dnia 8 września 2010 r. w sprawie sposobu pakowania nawozów mineralnych, umieszczania informacji o składnikach nawozowych na tych opakowaniach, sposobu badania nawozów mineralnych oraz typów wapna nawozowego </w:t>
      </w:r>
      <w:hyperlink r:id="rId5" w:history="1">
        <w:r w:rsidRPr="00546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Nr 183, poz. 1229)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293"/>
        <w:gridCol w:w="910"/>
        <w:gridCol w:w="2888"/>
        <w:gridCol w:w="1297"/>
        <w:gridCol w:w="2311"/>
      </w:tblGrid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Składniki podstawowe i sposób otrzymywania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Minimalna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zawartość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składników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nawozowych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CaO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wymagania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przerobu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skał wapiennych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Tlenek wapnia.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Przerób skał wapiennych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Odsiew na sicie o wymiarze boku oczek kwadratowych: 2 mm, %, najwyżej 25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Tlenek wapnia.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Przerób skał wapiennych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Tlenek wapnia.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Przerób skał wapiennych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Tlenek wapnia i węglan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wapnia lub węglan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wapniowy.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Przerób skał wapiennych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Odsiew na sicie o wymiarze boku oczek kwadratowych: 2 mm, %, najwyżej 10; przesiew przez sito o wymiarze boku oczek kwadratowych: 0,5 mm, %, co najmniej 50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wapnia. Przerób skał wapiennych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produkcji ubocznej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Tlenek wapnia, węglan wapnia, krzemiany wapnia. Wapno </w:t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posodowe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suche, wapno defekacyjne, wapno </w:t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pokarbidowe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10; zawartość chlorków, %, najwyżej 2,5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Węglan wapnia. Wapno pocelulozowe, wapno posiarkowe, wapno dekarbonizacyjne, wapno defekacyjne, wapno </w:t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pokarbidowe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wilgotne, wapno </w:t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posodowe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podsuszone, wapno </w:t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pogaszalnicze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podsuszone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30; zawartość chlorków, %, najwyżej 3,5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3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zawartość siarczków, %, najwyżej 1,5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Węglan wapnia. Wapno defekacyjne, wapno </w:t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posodowe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odsączone, wapno pocelulozowe wilgotne, wapno poneutralizacyjne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40; zawartość chlorków, %, najwyżej 3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3,5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Węglan wapnia.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Wapno defekacyjne mokre,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wapno </w:t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posodowe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mokre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50; zawartość chlorków, %, najwyżej 3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Pochodzenia naturalnego - kopalina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wapnia, wapno kredowe suche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10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wapnia, wapno kredowe podsuszone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30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wapnia, kreda odsączona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40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wapnia, wapno kredowe mokre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50</w:t>
            </w:r>
          </w:p>
        </w:tc>
      </w:tr>
    </w:tbl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dla wapna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posodowego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suchego.</w:t>
      </w:r>
    </w:p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dla wapna pocelulozowego.</w:t>
      </w:r>
    </w:p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dla wapna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posodowego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podsuszonego, wapna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posodowego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odsączonego i wapna </w:t>
      </w:r>
      <w:proofErr w:type="spellStart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posodowego</w:t>
      </w:r>
      <w:proofErr w:type="spellEnd"/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mokrego.</w:t>
      </w:r>
    </w:p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dla wapna pocelulozowego i posiarkowego.</w:t>
      </w:r>
    </w:p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Typy wapna nawozowego zawierającego magnez </w:t>
      </w: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Rozporządzeniem Ministra Gospodarki z dnia 8 września 2010 r. w sprawie sposobu pakowania nawozów mineralnych, umieszczania informacji o składnikach nawozowych na tych opakowaniach, sposobu badania nawozów mineralnych oraz typów wapna nawozowego </w:t>
      </w:r>
      <w:hyperlink r:id="rId6" w:history="1">
        <w:r w:rsidRPr="00546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(Dz.U. Nr 183, poz. 1229)</w:t>
        </w:r>
      </w:hyperlink>
    </w:p>
    <w:p w:rsidR="00546DEF" w:rsidRPr="00546DEF" w:rsidRDefault="00546DEF" w:rsidP="0054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177"/>
        <w:gridCol w:w="910"/>
        <w:gridCol w:w="2793"/>
        <w:gridCol w:w="556"/>
        <w:gridCol w:w="742"/>
        <w:gridCol w:w="2521"/>
      </w:tblGrid>
      <w:tr w:rsidR="00546DEF" w:rsidRPr="00546DEF" w:rsidTr="00546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Składniki podstawowe i sposób otrzymywania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Minimalna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zawartość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składników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nawozowych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wymagania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CaO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</w:t>
            </w: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MgO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</w:t>
            </w:r>
            <w:proofErr w:type="spellStart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MgO</w:t>
            </w:r>
            <w:proofErr w:type="spellEnd"/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Tlenkowe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Odsiew na sicie o wymiarze boku oczek kwadratowych: 2 mm, %, najwyżej 25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Odsiew na sicie o wymiarze boku oczek kwadratowych: 2 mm, %, najwyżej 25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 i węglan magnezu lub węglan wapnia, węglan magnezu, tlenek wapnia i tlenek magnezu. Mielenie, odsiewanie skał wapniowo-magnezowych lub mieszanie skał wapniowo-magnezowych z prażonymi skałami wapniowo-magnezowymi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 i węglan magnezu. Mielenie, odsiewanie skał wapniowo-magnezowych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546DEF" w:rsidRPr="00546DEF" w:rsidTr="00546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DEF" w:rsidRPr="00546DEF" w:rsidRDefault="00546DEF" w:rsidP="0054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</w:tbl>
    <w:p w:rsidR="00546DEF" w:rsidRDefault="00546DEF"/>
    <w:sectPr w:rsidR="0054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0EF3"/>
    <w:multiLevelType w:val="multilevel"/>
    <w:tmpl w:val="565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F"/>
    <w:rsid w:val="005314CA"/>
    <w:rsid w:val="00546DEF"/>
    <w:rsid w:val="00654C62"/>
    <w:rsid w:val="00A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02D2-B280-409C-8590-33CFAD5A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6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D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46D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rguydgojxheztg" TargetMode="External"/><Relationship Id="rId5" Type="http://schemas.openxmlformats.org/officeDocument/2006/relationships/hyperlink" Target="http://sip.legalis.pl/document-view.seam?documentId=mfrxilrrguydgojxhez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Piszcz</dc:creator>
  <cp:keywords/>
  <dc:description/>
  <cp:lastModifiedBy>Sekretariat</cp:lastModifiedBy>
  <cp:revision>2</cp:revision>
  <dcterms:created xsi:type="dcterms:W3CDTF">2019-07-05T12:39:00Z</dcterms:created>
  <dcterms:modified xsi:type="dcterms:W3CDTF">2019-07-05T12:39:00Z</dcterms:modified>
</cp:coreProperties>
</file>