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pl-PL"/>
        </w:rPr>
        <w:t>INFORMACJA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l-PL"/>
        </w:rPr>
        <w:tab/>
        <w:t xml:space="preserve">Wójt Gminy Filipów  informuje, że uchwałą Rady Gminy Filipów Nr II/14/2018 z dnia 29 listopada 2018 r. w sprawie wyboru metody ustalenia opłaty za gospodarowanie odpadami komunalnymi oraz stawki tej opłaty (Dz. Urzęd. Woj. Podlaskiego z 2018 r., poz. 4932) zostały uchwalone nowe stawki opłaty za odbiór i zagospodarowanie odpadów komunalnych na terenie Gminy Filipów, które będą obowiązywać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 xml:space="preserve">od 1 stycznia 2019 r.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ab/>
        <w:t>Uchwalenie nowych stawek podyktowane było rozstrzygnięciem przetargu na odbiór i zagospodarowanie odpadów komunalnych z terenu gminy na okres dwóch lat 2019-2020 (Transport Ciężarowy Eko Jeleniewo Marek Andruczyk).</w:t>
      </w:r>
    </w:p>
    <w:p>
      <w:pPr>
        <w:pStyle w:val="Normal"/>
        <w:jc w:val="both"/>
        <w:rPr/>
      </w:pPr>
      <w:r>
        <w:rPr/>
        <w:tab/>
        <w:t>Zgodnie z art. 6m ust. 2a ustawy o utrzymaniu czystości i porządku w gminach w przypadku uchwalenia nowej stawki opłaty za  gospodarowanie odpadami komunalnymi wójt zawiadamia właściciela nieruchomości o wysokości opłaty wyliczonej jako iloczyn nowej stawki opłaty i danych podanych w deklaracji.</w:t>
      </w:r>
    </w:p>
    <w:p>
      <w:pPr>
        <w:pStyle w:val="Normal"/>
        <w:jc w:val="both"/>
        <w:rPr/>
      </w:pPr>
      <w:r>
        <w:rPr/>
        <w:t>W takim przypadku właściciel nieruchomości nie ma obowiązku składania nowej deklaracji i uiszcza opłatę w wysokości podanej w zawiadomieniu, które otrzyma.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ab/>
        <w:t xml:space="preserve">Wyliczoną opłatę (pomnożoną przez 3)  należy wpłacać kwartalnie do 15 dnia miesiąca kończącego kwartał tj. za I kwartał - do 15 marca, za II kwartał - do 15 czerwca, za III kwartał - do 15 września, za IV kwartał - do 15 grudnia –  na konto indywidualne   bez dodatkowego wezwania.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 Od 01.01.2019 r. obowiązuje nowy wzór deklaracji o wysokości opłaty za gospodarowanie odpadami komunalnymi.</w:t>
      </w:r>
    </w:p>
    <w:p>
      <w:pPr>
        <w:pStyle w:val="Normal"/>
        <w:spacing w:lineRule="auto" w:line="240"/>
        <w:ind w:right="314" w:firstLine="480"/>
        <w:jc w:val="both"/>
        <w:rPr/>
      </w:pPr>
      <w:r>
        <w:rPr>
          <w:rFonts w:ascii="Times New Roman" w:hAnsi="Times New Roman"/>
          <w:sz w:val="24"/>
          <w:szCs w:val="24"/>
          <w:lang w:val="pl-PL"/>
        </w:rPr>
        <w:t>W dniu wyznaczonym do odbioru odpadów, należy wystawiać pojemniki do godz. 6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00 </w:t>
      </w:r>
      <w:r>
        <w:rPr>
          <w:rFonts w:ascii="Times New Roman" w:hAnsi="Times New Roman"/>
          <w:sz w:val="24"/>
          <w:szCs w:val="24"/>
          <w:lang w:val="pl-PL"/>
        </w:rPr>
        <w:t xml:space="preserve">w miejscu dostępnym i widocznym. Do właścicieli nieruchomości należy dbanie o dobry dojazd do posesji oraz przestrzeganie zasad prawidłowej segregacji odpadów. W dniu odbioru odpadów niesegregowanych należy również wystawiać pojemniki z resztkami po sortowaniu - dotyczy deklarujących  segregację  odpadów. </w:t>
      </w:r>
    </w:p>
    <w:p>
      <w:pPr>
        <w:pStyle w:val="Normal"/>
        <w:spacing w:lineRule="auto" w:line="240" w:before="0" w:after="200"/>
        <w:ind w:firstLine="720"/>
        <w:jc w:val="both"/>
        <w:rPr/>
      </w:pPr>
      <w:r>
        <w:rPr>
          <w:rFonts w:ascii="Times New Roman" w:hAnsi="Times New Roman"/>
          <w:sz w:val="24"/>
          <w:szCs w:val="24"/>
          <w:lang w:val="pl-PL"/>
        </w:rPr>
        <w:t xml:space="preserve">W przypadku jakichkolwiek pytań, bądź interwencji w sprawie odbioru odpadów (w szczególności braku odbioru w wyznaczonym dniu) należy na bieżąco zgłaszać problem do Urzędu Gminy </w:t>
      </w:r>
      <w:r>
        <w:rPr>
          <w:rFonts w:ascii="Times New Roman" w:hAnsi="Times New Roman"/>
          <w:b/>
          <w:sz w:val="24"/>
          <w:szCs w:val="24"/>
          <w:lang w:val="pl-PL"/>
        </w:rPr>
        <w:t>telefonicznie 87)569 60 81 wew.33, bądź osobiście w pok nr 12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spacing w:lineRule="auto" w:line="240" w:before="0" w:after="20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20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20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center"/>
        <w:rPr/>
      </w:pPr>
      <w:r>
        <w:rPr/>
        <w:t xml:space="preserve">INFORMACJA- </w:t>
      </w:r>
      <w:r>
        <w:rPr/>
        <w:t>nowe stawki obowiazujące od 01.01.2018</w:t>
      </w:r>
    </w:p>
    <w:p>
      <w:pPr>
        <w:pStyle w:val="Tretekstu"/>
        <w:jc w:val="center"/>
        <w:rPr/>
      </w:pPr>
      <w:r>
        <w:rPr/>
        <w:t xml:space="preserve"> </w:t>
      </w:r>
      <w:r>
        <w:rPr>
          <w:b/>
          <w:bCs/>
          <w:sz w:val="22"/>
          <w:szCs w:val="22"/>
        </w:rPr>
        <w:t xml:space="preserve">Stawki od gospodarstwa domowego </w:t>
      </w:r>
      <w:r>
        <w:rPr>
          <w:b/>
          <w:bCs/>
          <w:sz w:val="22"/>
          <w:szCs w:val="22"/>
        </w:rPr>
        <w:t>(jednorodzinne)</w:t>
      </w:r>
    </w:p>
    <w:tbl>
      <w:tblPr>
        <w:tblW w:w="91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612"/>
        <w:gridCol w:w="3507"/>
        <w:gridCol w:w="3011"/>
      </w:tblGrid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Gospodarstwo domowe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 selektywnej zbiórce odpadów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 braku selektywnej zbiórki  /zmieszane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1-osobowe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22,00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2-osobowe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22,00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44,00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3-osobowe 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33,00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66,00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4-osobowe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44,00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88,00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5-osobowe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50,00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100,00</w:t>
            </w:r>
          </w:p>
        </w:tc>
      </w:tr>
      <w:tr>
        <w:trPr/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6-osob. i więcej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55,00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110,00</w:t>
            </w:r>
          </w:p>
        </w:tc>
      </w:tr>
    </w:tbl>
    <w:p>
      <w:pPr>
        <w:pStyle w:val="Normal"/>
        <w:ind w:left="567" w:right="314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right="314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Stawka od ilości osób </w:t>
      </w:r>
      <w:r>
        <w:rPr>
          <w:b/>
          <w:sz w:val="22"/>
          <w:szCs w:val="22"/>
        </w:rPr>
        <w:t>(wielorodzinne)</w:t>
      </w:r>
    </w:p>
    <w:p>
      <w:pPr>
        <w:pStyle w:val="Normal"/>
        <w:ind w:left="0" w:right="314" w:hanging="0"/>
        <w:jc w:val="left"/>
        <w:rPr/>
      </w:pPr>
      <w:r>
        <w:rPr>
          <w:b w:val="false"/>
          <w:bCs w:val="false"/>
          <w:i/>
          <w:iCs/>
          <w:sz w:val="20"/>
          <w:szCs w:val="20"/>
          <w:u w:val="single"/>
        </w:rPr>
        <w:t>przy s</w:t>
      </w:r>
      <w:r>
        <w:rPr>
          <w:b w:val="false"/>
          <w:bCs w:val="false"/>
          <w:i/>
          <w:iCs/>
          <w:sz w:val="20"/>
          <w:szCs w:val="20"/>
          <w:u w:val="single"/>
        </w:rPr>
        <w:t>elektywnej zbiórce odpadów -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– </w:t>
      </w:r>
      <w:r>
        <w:rPr>
          <w:b/>
          <w:bCs/>
          <w:i w:val="false"/>
          <w:iCs w:val="false"/>
          <w:sz w:val="20"/>
          <w:szCs w:val="20"/>
        </w:rPr>
        <w:t>10,50 zł/</w:t>
      </w:r>
      <w:r>
        <w:rPr>
          <w:b/>
          <w:bCs/>
          <w:i w:val="false"/>
          <w:iCs w:val="false"/>
          <w:sz w:val="20"/>
          <w:szCs w:val="20"/>
        </w:rPr>
        <w:t>os</w:t>
      </w:r>
      <w:r>
        <w:rPr>
          <w:b/>
          <w:bCs/>
          <w:i w:val="false"/>
          <w:iCs w:val="false"/>
          <w:sz w:val="20"/>
          <w:szCs w:val="20"/>
        </w:rPr>
        <w:t>,</w:t>
      </w:r>
    </w:p>
    <w:p>
      <w:pPr>
        <w:pStyle w:val="Normal"/>
        <w:ind w:left="0" w:right="314" w:hanging="0"/>
        <w:jc w:val="left"/>
        <w:rPr/>
      </w:pPr>
      <w:r>
        <w:rPr>
          <w:b w:val="false"/>
          <w:bCs w:val="false"/>
          <w:i/>
          <w:iCs/>
          <w:sz w:val="20"/>
          <w:szCs w:val="20"/>
          <w:u w:val="single"/>
        </w:rPr>
        <w:t>przy braku segregacji</w:t>
      </w: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  - </w:t>
      </w:r>
      <w:r>
        <w:rPr>
          <w:b/>
          <w:bCs/>
          <w:i w:val="false"/>
          <w:iCs w:val="false"/>
          <w:sz w:val="20"/>
          <w:szCs w:val="20"/>
          <w:u w:val="none"/>
        </w:rPr>
        <w:t>21,00 zł/</w:t>
      </w:r>
      <w:r>
        <w:rPr>
          <w:b/>
          <w:bCs/>
          <w:i w:val="false"/>
          <w:iCs w:val="false"/>
          <w:sz w:val="20"/>
          <w:szCs w:val="20"/>
          <w:u w:val="none"/>
        </w:rPr>
        <w:t>os</w:t>
      </w:r>
      <w:r>
        <w:rPr>
          <w:b/>
          <w:bCs/>
          <w:i w:val="false"/>
          <w:iCs w:val="false"/>
          <w:sz w:val="20"/>
          <w:szCs w:val="20"/>
          <w:u w:val="none"/>
        </w:rPr>
        <w:t>.</w:t>
      </w:r>
    </w:p>
    <w:p>
      <w:pPr>
        <w:pStyle w:val="Normal"/>
        <w:ind w:left="567" w:right="314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Stawki za pojemnik</w:t>
      </w:r>
    </w:p>
    <w:tbl>
      <w:tblPr>
        <w:tblW w:w="9077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550"/>
        <w:gridCol w:w="3510"/>
        <w:gridCol w:w="3017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Pojemnik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 selektywnej zbiórce odpadów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 braku selektywnej zbiórki  /zmieszane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 l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30,00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60,00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240 l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60,00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120,00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 l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75,00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150,00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660 l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90,00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180,00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110,00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220,00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7000 l  (KP-7)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700,00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1.400,00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nyWeb"/>
        <w:spacing w:before="0" w:after="0"/>
        <w:jc w:val="center"/>
        <w:rPr>
          <w:b/>
          <w:b/>
        </w:rPr>
      </w:pPr>
      <w:r>
        <w:rPr>
          <w:b/>
        </w:rPr>
        <w:t xml:space="preserve">Stawka </w:t>
      </w:r>
      <w:r>
        <w:rPr>
          <w:b/>
        </w:rPr>
        <w:t>roczna</w:t>
      </w:r>
      <w:r>
        <w:rPr>
          <w:b/>
        </w:rPr>
        <w:t xml:space="preserve"> ryczałtowa</w:t>
      </w:r>
    </w:p>
    <w:p>
      <w:pPr>
        <w:pStyle w:val="NormalnyWeb"/>
        <w:spacing w:before="0" w:after="0"/>
        <w:jc w:val="left"/>
        <w:rPr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nyWeb"/>
        <w:spacing w:before="0" w:after="0"/>
        <w:jc w:val="left"/>
        <w:rPr/>
      </w:pPr>
      <w:r>
        <w:rPr>
          <w:b w:val="false"/>
          <w:bCs w:val="false"/>
          <w:i/>
          <w:iCs/>
          <w:sz w:val="20"/>
          <w:szCs w:val="20"/>
          <w:u w:val="single"/>
        </w:rPr>
        <w:t>przy s</w:t>
      </w:r>
      <w:r>
        <w:rPr>
          <w:b w:val="false"/>
          <w:bCs w:val="false"/>
          <w:i/>
          <w:iCs/>
          <w:sz w:val="20"/>
          <w:szCs w:val="20"/>
          <w:u w:val="single"/>
        </w:rPr>
        <w:t>elektywnej zbiórce odpadów -</w:t>
      </w:r>
      <w:r>
        <w:rPr>
          <w:b w:val="false"/>
          <w:bCs w:val="false"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>150,00 zł</w:t>
      </w:r>
      <w:r>
        <w:rPr>
          <w:b w:val="false"/>
          <w:bCs w:val="false"/>
          <w:sz w:val="20"/>
          <w:szCs w:val="20"/>
        </w:rPr>
        <w:t>/</w:t>
      </w:r>
      <w:r>
        <w:rPr>
          <w:b w:val="false"/>
          <w:bCs w:val="false"/>
          <w:sz w:val="20"/>
          <w:szCs w:val="20"/>
        </w:rPr>
        <w:t>rok</w:t>
      </w:r>
    </w:p>
    <w:p>
      <w:pPr>
        <w:pStyle w:val="NormalnyWeb"/>
        <w:spacing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nyWeb"/>
        <w:spacing w:before="0" w:after="0"/>
        <w:jc w:val="left"/>
        <w:rPr/>
      </w:pPr>
      <w:r>
        <w:rPr>
          <w:b w:val="false"/>
          <w:bCs w:val="false"/>
          <w:i/>
          <w:iCs/>
          <w:sz w:val="20"/>
          <w:szCs w:val="20"/>
          <w:u w:val="single"/>
        </w:rPr>
        <w:t>przy braku segregacji</w:t>
      </w:r>
      <w:r>
        <w:rPr>
          <w:b w:val="false"/>
          <w:bCs w:val="false"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300,00 </w:t>
      </w:r>
      <w:r>
        <w:rPr>
          <w:b/>
          <w:bCs/>
          <w:sz w:val="20"/>
          <w:szCs w:val="20"/>
        </w:rPr>
        <w:t>zł/rok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4c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7534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  <w:szCs w:val="24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qFormat/>
    <w:pPr>
      <w:spacing w:before="0" w:after="0"/>
      <w:jc w:val="left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rFonts w:cs="Times New Roman"/>
      <w:sz w:val="20"/>
      <w:lang w:val="pl-P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LibreOffice/6.1.0.3$Windows_x86 LibreOffice_project/efb621ed25068d70781dc026f7e9c5187a4decd1</Application>
  <Pages>2</Pages>
  <Words>417</Words>
  <Characters>2484</Characters>
  <CharactersWithSpaces>2880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2016-12-08T09:46:00Z</dcterms:created>
  <dc:creator>Bogusia</dc:creator>
  <dc:description/>
  <dc:language>pl-PL</dc:language>
  <cp:lastModifiedBy/>
  <cp:lastPrinted>2017-11-29T08:38:00Z</cp:lastPrinted>
  <dcterms:modified xsi:type="dcterms:W3CDTF">2018-12-13T15:11:28Z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